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Occorre sempre una dose di allegria e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spensieratezza per affrontare la vita.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Scritta dal gruppo “Bluerba” 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  <w:t xml:space="preserve">anni ‘80 o giù di lì, piacque subito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noi ragazzi dell’ OMG e la facemmo nostra.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Nel testo “Bluerba devi per forza diventar”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viene cantato spesso “blue Belga”,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famosa razza bovina.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versione originale</w:t>
      </w:r>
    </w:p>
    <w:p w:rsidR="00000000" w:rsidDel="00000000" w:rsidP="00000000" w:rsidRDefault="00000000" w:rsidRPr="00000000" w14:paraId="0000000D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hyperlink r:id="rId6">
        <w:r w:rsidDel="00000000" w:rsidR="00000000" w:rsidRPr="00000000">
          <w:rPr>
            <w:rFonts w:ascii="Aptos" w:cs="Aptos" w:eastAsia="Aptos" w:hAnsi="Aptos"/>
            <w:color w:val="1155cc"/>
            <w:sz w:val="24"/>
            <w:szCs w:val="24"/>
            <w:u w:val="single"/>
            <w:rtl w:val="0"/>
          </w:rPr>
          <w:t xml:space="preserve">https://www.youtube.com/watch?v=fL0dJL1J_KQ&amp;ab_channel=Teo93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L0dJL1J_KQ&amp;ab_channel=Teo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